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  <w:bookmarkStart w:id="0" w:name="_GoBack"/>
      <w:bookmarkEnd w:id="0"/>
    </w:p>
    <w:tbl>
      <w:tblPr>
        <w:tblpPr w:leftFromText="181" w:rightFromText="181" w:vertAnchor="text" w:tblpX="1" w:tblpY="1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CE2851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ПОЯСНИТЕЛЬНАЯ 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</w:tr>
      <w:tr w:rsidR="00CE2851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КОДЫ</w:t>
            </w:r>
          </w:p>
        </w:tc>
      </w:tr>
      <w:tr w:rsidR="00CE2851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  <w:lang w:val="en-US" w:eastAsia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18"/>
                <w:lang w:val="en-US" w:eastAsia="en-US"/>
              </w:rPr>
              <w:t>апреля</w:t>
            </w:r>
            <w:proofErr w:type="spellEnd"/>
            <w:r>
              <w:rPr>
                <w:rFonts w:ascii="Times New Roman" w:hAnsi="Times New Roman"/>
                <w:sz w:val="18"/>
                <w:lang w:val="en-US" w:eastAsia="en-US"/>
              </w:rPr>
              <w:t xml:space="preserve"> 2022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Форма по ОКУД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0503160</w:t>
            </w:r>
          </w:p>
        </w:tc>
      </w:tr>
      <w:tr w:rsidR="00CE2851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  <w:sz w:val="28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E2851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</w:rPr>
              <w:t>01.04.2022</w:t>
            </w:r>
          </w:p>
        </w:tc>
      </w:tr>
      <w:tr w:rsidR="00CE2851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</w:t>
            </w:r>
            <w:r>
              <w:rPr>
                <w:rFonts w:ascii="Times New Roman" w:hAnsi="Times New Roman"/>
                <w:color w:val="000000"/>
              </w:rPr>
              <w:t>администратор, администратор источников финансирования дефицита 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ОКПО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13540620</w:t>
            </w:r>
          </w:p>
        </w:tc>
      </w:tr>
      <w:tr w:rsidR="00CE2851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E2851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E2851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E2851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E7669F">
              <w:rPr>
                <w:rFonts w:ascii="Times New Roman" w:hAnsi="Times New Roman"/>
                <w:color w:val="000000"/>
                <w:lang w:eastAsia="en-US"/>
              </w:rPr>
              <w:t>управа района Левобережный города Москвы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Глава по БК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931 </w:t>
            </w:r>
          </w:p>
        </w:tc>
      </w:tr>
      <w:tr w:rsidR="00CE2851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бюджета (публично-правового образования)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Бюджет города 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461"/>
                <w:rFonts w:ascii="Times New Roman" w:hAnsi="Times New Roman"/>
                <w:sz w:val="22"/>
                <w:lang w:val="en-US" w:eastAsia="en-US"/>
              </w:rPr>
              <w:t>45342000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</w:tr>
      <w:tr w:rsidR="00CE2851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CE2851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Периодичность: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квартальная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2851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измерения: руб.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ОКЕИ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383</w:t>
            </w:r>
          </w:p>
        </w:tc>
      </w:tr>
      <w:tr w:rsidR="00CE2851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851" w:rsidRDefault="00CE285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CE2851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</w:tr>
      <w:tr w:rsidR="00CE2851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</w:tr>
      <w:tr w:rsidR="00CE2851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</w:tr>
      <w:tr w:rsidR="00CE2851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851" w:rsidRDefault="00CE2851">
            <w:pPr>
              <w:widowControl w:val="0"/>
              <w:rPr>
                <w:sz w:val="20"/>
              </w:rPr>
            </w:pPr>
          </w:p>
        </w:tc>
      </w:tr>
    </w:tbl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1 «Организационная структура субъекта бюджетной отчетности»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1"/>
        <w:tblW w:w="1074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34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месте нахождения и организационно-правовой форме субъекта </w:t>
            </w:r>
            <w:r>
              <w:rPr>
                <w:rFonts w:ascii="Times New Roman" w:hAnsi="Times New Roman"/>
                <w:b/>
                <w:sz w:val="24"/>
              </w:rPr>
              <w:t>отчетности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</w:rPr>
              <w:t>Управа района Левобережный города Москвы находится по адресу: 125565, г. Москва, ул. Флотская, дом 1. Организационно-правовая форма - государственное казенное учреждение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об изменениях наименования субъекта за отчетный период, если</w:t>
            </w:r>
            <w:r>
              <w:rPr>
                <w:rFonts w:ascii="Times New Roman" w:hAnsi="Times New Roman"/>
                <w:b/>
                <w:sz w:val="24"/>
              </w:rPr>
              <w:t xml:space="preserve"> такие изменения производились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Изменения в наименовании субъекта за отчетный период не производились.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учредителя субъекта отчетности (для подведомственных получателей бюджетных средств)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Префектура Северного административного округа </w:t>
            </w:r>
            <w:r>
              <w:rPr>
                <w:rFonts w:ascii="Times New Roman" w:hAnsi="Times New Roman"/>
                <w:sz w:val="24"/>
              </w:rPr>
              <w:t>города Москвы.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о наличии филиалов (обособленных подразделений) учреждения по состоянию на отчетную дату с указанием причин, произошедших в течение отчетного периода изменений количества филиалов (обособленных подразделений)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</w:rPr>
              <w:t>филиалов (обособленных подразделений) у учреждения по состоянию на отчетную дату отсутствуют.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об изменении состава бюджетных полномочий получателей, распорядителей бюджетных средств, находящихся в ведении главного распорядителя (распорядител</w:t>
            </w:r>
            <w:r>
              <w:rPr>
                <w:rFonts w:ascii="Times New Roman" w:hAnsi="Times New Roman"/>
                <w:b/>
                <w:sz w:val="24"/>
              </w:rPr>
              <w:t>я) бюджетных средств, а также администраторов находящихся в ведении главных администраторов источников финансирования дефицита бюджета, главных администраторов доходов бюджета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Управа района осуществляет бюджетные полномочия распорядителя и получателя сре</w:t>
            </w:r>
            <w:r>
              <w:rPr>
                <w:rFonts w:ascii="Times New Roman" w:hAnsi="Times New Roman"/>
                <w:sz w:val="24"/>
              </w:rPr>
              <w:t>дств бюджета города Москвы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о передаче полномочий по ведению бухгалтерского учета иному учреждению (централизованной бухгалтерии) на основании договора (соглашения) с указанием их реквизитов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Передача полномочий по ведению бухгалтерского </w:t>
            </w:r>
            <w:r>
              <w:rPr>
                <w:rFonts w:ascii="Times New Roman" w:hAnsi="Times New Roman"/>
                <w:sz w:val="24"/>
              </w:rPr>
              <w:t>учета управы района иному учреждению (централизованной бухгалтерии) на основании договора (соглашения) не производилась.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об исполнителе (ФИО, должность) централизованной бухгалтерии, составившем бухгалтерскую отчетность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Централизованная </w:t>
            </w:r>
            <w:r>
              <w:rPr>
                <w:rFonts w:ascii="Times New Roman" w:hAnsi="Times New Roman"/>
                <w:sz w:val="24"/>
              </w:rPr>
              <w:t xml:space="preserve">бухгалтерия </w:t>
            </w:r>
            <w:proofErr w:type="spellStart"/>
            <w:r>
              <w:rPr>
                <w:rFonts w:ascii="Times New Roman" w:hAnsi="Times New Roman"/>
                <w:sz w:val="24"/>
              </w:rPr>
              <w:t>отсутсвует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Иная информация,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</w:t>
            </w:r>
            <w:r>
              <w:rPr>
                <w:rFonts w:ascii="Times New Roman" w:hAnsi="Times New Roman"/>
                <w:sz w:val="24"/>
              </w:rPr>
              <w:t>не нашедшая отражения в таблицах и приложениях, включаемых в раздел отсутствует.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Прочая информация </w:t>
            </w:r>
          </w:p>
          <w:p w:rsidR="00CE2851" w:rsidRDefault="00CE2851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hAnsi="Times New Roman"/>
                <w:sz w:val="24"/>
              </w:rPr>
            </w:pPr>
          </w:p>
        </w:tc>
      </w:tr>
      <w:tr w:rsidR="00CE2851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4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</w:rPr>
              <w:t>Прочая информация отсутствует.</w:t>
            </w: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2 «Результаты деятельности субъекта бюджетной отчетности»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1"/>
        <w:tblW w:w="5405" w:type="pc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Информация, оказавшая существенное влияние и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Информация не нашедшая отражения в таблицах и приложениях, отсутствует.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Иная информация о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результатах деятельности субъекта бюджетной отчетности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3 «Анализ отчета об исполнении бюджета субъектом бюджетной отчетности»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1"/>
        <w:tblW w:w="5405" w:type="pc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Сведения, раскрывающие информацию о ходе реализации государственными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(муниципальными) бюджетными и автономными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за счет средств субсидии на иные цели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Информация, раскрывающая данные о неисполненных принятых бюджетных обязательствах и денежных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(на основании ф. 0503128-НП)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(пояснения) о некассовых операциях, отраженных в Отчете (ф. 0503127)  (характеристика операций) 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Некассовые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осуществлялись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Информация о сумме курсовой разницы, отраженной в ф. 0503127 в разрезе следующих показателей:- положительная курсовая разница;- отрицательная курсовая разница;- начисленная по доходам или расходам;-  наименование контрагентов и мероприятий, по которым осущ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ествляются расчеты в иностранной валюте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Информация полностью отражена в бюджетной отчетности.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Иная информация, оказавшая существенное влияние и характеризующая результаты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исполнения  бюджета</w:t>
            </w:r>
            <w:proofErr w:type="gramEnd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субъектом бюджетной отчетности, не отраженная в таблицах и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приложениях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ab/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4 «Анализ показателей бухгалтерской отчетности субъекта бюджетной отчетности»</w:t>
      </w:r>
    </w:p>
    <w:tbl>
      <w:tblPr>
        <w:tblStyle w:val="1"/>
        <w:tblW w:w="5405" w:type="pc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Информация, о причинах (целях) открытия счетов в кредитных организациях, о причинах образования остатка денежных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средств на счетах, а также обоснование необходимости наличия банковских счетов в случае отсутствия по ним операций в течении 2-х и более лет (на основании ф. 0503178-бюджетная деятельность)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Счета в кредитных организациях отсутствуют.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Информация, о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причинах (целях) открытия счетов в кредитных организациях, о причинах образования остатка денежных средств на счетах в кредитной организации (на основании ф. 0503178-средства во временном распоряжении)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Счета в кредитных организациях отсутствуют.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Инфо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рмация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по  остаткам</w:t>
            </w:r>
            <w:proofErr w:type="gramEnd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отраженным по счету бюджетного учета 120134000 «Касса» 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отсутствуют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об объектах учета выплат персоналу: - о сумме задолженности по текущим выплатам персоналу на начало и конец отчетного периода;- о сумме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резерва предстоящих расходов по выплатам персоналу (отложенных выплат персоналу) на начало и конец отчетного периода по каждому виду обязанностей по выплатам персоналу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Информация об объектах учета выплат персоналу: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- сумме задолженности по текущим выплатам персоналу на начало и конец отчетного периода отсутствует;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- о сумме резерва предстоящих расходов: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отпуска в сумме 788 609,85 рублей;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взносы с сумм резерва отпусков в сумме 238 160,18 рублей.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сумме корректировок (увеличений, уменьшений) величины резерва предстоящих расходов по выплатам персоналу (отложенных выплат персоналу) по каждому виду отложенных выплат персоналу  в структуре оснований:                                        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                                                       - признание объектов учета отложенных выплат персоналу; - признание объектов учета текущих выплат персоналу за счет сумм ранее признанного резерва;                                    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                                                                      - корректировка резерва в части избыточно начисленных сумм резерва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Информация о сумме корректировок (увеличений, уменьшений) величины резерва предстоящих расходов по </w:t>
            </w: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выплатам персоналу (отложенных выплат персоналу) отсутствует.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Информация о пенсионных и иных аналогичных выплатах на плановый период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Информация об объектах учета выплат персоналу: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- сумме задолженности по текущим выплатам персоналу на начало и конец отчетного периода отсутствует;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- о сумме резерва предстоящих расходов: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отпуска в сумме 788 609,85 рублей;</w:t>
            </w: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взносы с сумм резерва отпусков в сумме 238 160,18 рублей.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Иная информация,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  <w:p w:rsidR="00CE2851" w:rsidRPr="00E7669F" w:rsidRDefault="00CE2851">
            <w:pPr>
              <w:widowControl w:val="0"/>
              <w:ind w:right="35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Раздел 5 «Прочие вопросы деятельности субъекта бюджетной отчетности»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1"/>
        <w:tblW w:w="5405" w:type="pc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 xml:space="preserve">Перечень правовых актов главного распорядителя бюджетных средств, главного администратора источников финансирования дефицита бюджета, главного администратора доходов бюджетов, регулирующих ведение бюджетного (бухгалтерского) учета и составление отчетности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Бюджетный учет в подведомственных учреждениях ведется в соответствии с приказом Минфина России от 01 декабря 2010 года №157н «Об утверждении Единого плана счетов бухгалтерского учета для органов государственной власти (государственных органов), органов</w:t>
            </w: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Минфина России от 06 декабря 2010 года №162н «Об утверж</w:t>
            </w: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дении Плана счетов бюджетного учета и Инструкции по его применению». Бюджетная отчетность составлена в соответствии с Федеральным законом  от 05.12.2011 г. № 402-ФЗ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событиях, произошедших в период между отчетной датой и датой утверждения бухгалтерской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отчетности  по</w:t>
            </w:r>
            <w:proofErr w:type="gramEnd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долговым обязательствам, классифицированным как краткосрочные:- рефинансирование на долгосрочный период;- устранение нарушения соглашения о д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олгосрочном финансировании;-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События, произошедших в период между отчетной датой и датой утверждения бухгалтерской отчетно</w:t>
            </w: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сти  по долговым обязательствам, классифицированным как краткосрочные отсутствуют.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задолженности по исполнительным документам и правовом основании ее возникновения, отраженная в ф. 0503296 с указанием причин неисполнения обязательств, в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том числе по КОСГУ 296, КОСГУ 297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Исполнительные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документы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отсутствуют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просроченной кредиторской задолженности  отраженная в ф. 0503387 «Справочная таблица к отчету об исполнении консолидированного бюджета субъекта Российской Федерации» 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Просроченная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кредиторская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задолженность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Иная информация отраженная в ф. 0503387 «Справочная таблица к отчету об исполнении консолидированного бюджета субъекта Российской Федерации»  и требующая пояснения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причинах наличия допустимых отклонений показателей отчета ф.0503324 данным, отраженным в Отчете ф. 0531888, формируемом Управлением Федерального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казначейства по г. Москве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lastRenderedPageBreak/>
              <w:t>Отклонения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полученных межбюджетных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трансфертах находящихся на отчетную дату на счете территориального органа Федерального казначейства, открытом на балансовом счете 40101 «Доходы, распределяемые органами Федерального казначейства между уровнями бюджетной системы Российской Федерации» (на ос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новании ф. 0503184)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Межбюджетные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трансферты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отсутствуют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Иная информация  о  межбюджетных трансфертах за отчетный период, не нашедшая отражения в формах отчетов, таблицах и приложениях  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Информация  о  межбюджетных трансфертах за отчетный период, не нашедшая отражения в формах отчетов, таблицах и приложениях отсутствует.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Сведения о правопреемственности по всем обязательствам реорганизуемого субъекта бюджетной отчетности в отношении вс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ех кредиторов и должников, включая и обязательства, оспариваемые в суде, а также иная информация, характеризующая показатели бухгалтерской отчетности реорганизуемого субъекта бюджетной отчетности за отчетный период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Реорганизация субъекта бюджетной </w:t>
            </w: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отчетности не осуществлялась.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о вносимых изменениях в показатели ранее представленной бухгалтерской отчётности по решению уполномоченного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органа  в</w:t>
            </w:r>
            <w:proofErr w:type="gramEnd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период после отчетной даты  и до даты утверждения отчетности на основании выявленных ошибок и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существенных событий после отчетной даты (с указанием причин внесения исправлений и их содержания) по ошибкам отчетного периода, выявленных в ходе камеральной проверки отчетности, а также в ходе осуществления внутреннего (внешнего) финансового контроля (а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удита)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Изменения в показатели ранее представленной бухгалтерской отчетности отсутствуют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 (информация о существенности ошибки, описание ошибки (содержания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и суммы), а также суммовых значений выполненных корректировок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бухгалтерской  отчетности</w:t>
            </w:r>
            <w:proofErr w:type="gramEnd"/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Отнесение сумму переплаты в 2018 году по Страховым взносам ФСС на счет 209.36 в сумме 32637,11 рублей. 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Перечень форм отчетности, не включенных в состав бюджетной отчетности за отчетный период ввиду отсутствия числовых значений показателей (подлежит заполнению при отсутствии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возможности  формирования</w:t>
            </w:r>
            <w:proofErr w:type="gramEnd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и (или) представления бюджетной отчетности средствами прог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раммных комплексов)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Формы бюджетной отчетности, не имеющие числовых значений показателей и не содержащие пояснения, сформированы и представлены посредством модуля «Консолидированная бюджетная отчетность» автоматизированной информационной системы </w:t>
            </w:r>
            <w:r w:rsidRPr="00E7669F">
              <w:rPr>
                <w:rFonts w:ascii="Times New Roman" w:hAnsi="Times New Roman"/>
                <w:color w:val="000000"/>
                <w:sz w:val="24"/>
                <w:lang w:eastAsia="en-US"/>
              </w:rPr>
              <w:t>Департамента финансов города Москвы с указанием отметки «показатели отсутствуют»</w:t>
            </w: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Информация по </w:t>
            </w:r>
            <w:proofErr w:type="gramStart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заимствованиям:-</w:t>
            </w:r>
            <w:proofErr w:type="gramEnd"/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 xml:space="preserve"> величина затрат, включенных в расходы текущего отчетного периода;- величина обязательств по затратам по заимствованиям на начало и конец 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отчетного периода;- величина затрат по заимствованиям, включенных в течение отчетного периода в первоначальную стоимость нефинансовых активов, создаваемых с привлечением заимствований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Информация об изменениях вступительного бал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анса на начало года в связи с внедрением федеральных стандартов бухгалтерского учета, в связи с выявленными ошибками предшествующих годов, отраженных после утверждения бухгалтерской отчетности, в связи с изменением учетной политики, в связи с пересчетом по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казателей отчетности и иными причинами изменения вступительного баланса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Pr="00E7669F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E2851" w:rsidRPr="00E7669F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</w:t>
            </w:r>
            <w:r w:rsidRPr="00E7669F">
              <w:rPr>
                <w:rFonts w:ascii="Times New Roman" w:hAnsi="Times New Roman"/>
                <w:b/>
                <w:sz w:val="24"/>
                <w:lang w:eastAsia="en-US"/>
              </w:rPr>
              <w:t>и и движения денежных средств субъекта отчетности за отчетный период, 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  <w:p w:rsidR="00CE2851" w:rsidRPr="00E7669F" w:rsidRDefault="00CE2851">
            <w:pPr>
              <w:widowControl w:val="0"/>
              <w:ind w:right="-142"/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</w:pPr>
          </w:p>
        </w:tc>
      </w:tr>
      <w:tr w:rsidR="00CE2851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ind w:right="35"/>
              <w:jc w:val="both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отсутствует</w:t>
            </w:r>
            <w:proofErr w:type="spellEnd"/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CE28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E2851" w:rsidRDefault="00CE2851">
            <w:pPr>
              <w:widowControl w:val="0"/>
              <w:ind w:right="-142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  <w:sectPr w:rsidR="00CE2851">
          <w:pgSz w:w="12240" w:h="15840"/>
          <w:pgMar w:top="1134" w:right="1701" w:bottom="1134" w:left="819" w:header="708" w:footer="708" w:gutter="0"/>
          <w:cols w:space="720"/>
        </w:sect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Информация о причинах отклонений показателей представленных форм отчетности по </w:t>
      </w:r>
      <w:proofErr w:type="spellStart"/>
      <w:r>
        <w:rPr>
          <w:rFonts w:ascii="Times New Roman" w:hAnsi="Times New Roman"/>
          <w:b/>
          <w:color w:val="000000"/>
          <w:sz w:val="24"/>
        </w:rPr>
        <w:t>внутридокументным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 контрольным соотношениям, установленным в автоматизированной информационной системе Департамента финансов (в части допустимых отклонений, требующих </w:t>
      </w:r>
      <w:r>
        <w:rPr>
          <w:rFonts w:ascii="Times New Roman" w:hAnsi="Times New Roman"/>
          <w:b/>
          <w:color w:val="000000"/>
          <w:sz w:val="24"/>
        </w:rPr>
        <w:t>пояснений)</w:t>
      </w:r>
    </w:p>
    <w:p w:rsidR="00CE2851" w:rsidRDefault="00CE2851">
      <w:pPr>
        <w:widowControl w:val="0"/>
        <w:jc w:val="center"/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709"/>
        <w:gridCol w:w="851"/>
        <w:gridCol w:w="1134"/>
        <w:gridCol w:w="1559"/>
        <w:gridCol w:w="1843"/>
        <w:gridCol w:w="1701"/>
        <w:gridCol w:w="1701"/>
        <w:gridCol w:w="4749"/>
      </w:tblGrid>
      <w:tr w:rsidR="00CE2851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Форма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Номер 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Описание 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Комментарий 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Значение слева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Значение справа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Пояснение</w:t>
            </w:r>
          </w:p>
        </w:tc>
      </w:tr>
      <w:tr w:rsidR="00CE2851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9</w:t>
            </w:r>
          </w:p>
        </w:tc>
      </w:tr>
      <w:tr w:rsidR="00CE2851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sz w:val="16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</w:tr>
    </w:tbl>
    <w:p w:rsidR="00CE2851" w:rsidRDefault="00CE2851">
      <w:pPr>
        <w:widowControl w:val="0"/>
        <w:jc w:val="center"/>
        <w:rPr>
          <w:rFonts w:ascii="Times New Roman CYR" w:hAnsi="Times New Roman CYR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" w:hAnsi="Times New Roman"/>
          <w:sz w:val="28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" w:hAnsi="Times New Roman"/>
          <w:sz w:val="28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" w:hAnsi="Times New Roman"/>
          <w:sz w:val="28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E7669F">
      <w:pPr>
        <w:widowControl w:val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Информация о причинах отклонений показателей представленных форм отчетности по </w:t>
      </w:r>
      <w:proofErr w:type="spellStart"/>
      <w:r>
        <w:rPr>
          <w:rFonts w:ascii="Times New Roman" w:hAnsi="Times New Roman"/>
          <w:b/>
          <w:color w:val="000000"/>
          <w:sz w:val="24"/>
        </w:rPr>
        <w:t>междокументным</w:t>
      </w:r>
      <w:proofErr w:type="spellEnd"/>
      <w:r>
        <w:rPr>
          <w:rFonts w:ascii="Times New Roman" w:hAnsi="Times New Roman"/>
          <w:b/>
          <w:color w:val="000000"/>
          <w:sz w:val="24"/>
        </w:rPr>
        <w:t> контрольным</w:t>
      </w:r>
      <w:r>
        <w:rPr>
          <w:rFonts w:ascii="Times New Roman" w:hAnsi="Times New Roman"/>
          <w:b/>
          <w:color w:val="000000"/>
          <w:sz w:val="24"/>
        </w:rPr>
        <w:t xml:space="preserve"> соотношениям, установленным в автоматизированной информационной системе Департамента финансов (в части допустимых отклонений, требующих пояснений)</w:t>
      </w:r>
    </w:p>
    <w:p w:rsidR="00CE2851" w:rsidRDefault="00CE2851">
      <w:pPr>
        <w:widowControl w:val="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296"/>
        <w:gridCol w:w="995"/>
        <w:gridCol w:w="900"/>
        <w:gridCol w:w="779"/>
        <w:gridCol w:w="1276"/>
        <w:gridCol w:w="728"/>
        <w:gridCol w:w="831"/>
        <w:gridCol w:w="1559"/>
        <w:gridCol w:w="1559"/>
        <w:gridCol w:w="4608"/>
      </w:tblGrid>
      <w:tr w:rsidR="00CE2851">
        <w:trPr>
          <w:trHeight w:val="5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Номер КС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Описание КС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Комментарий КС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Форма слева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Значение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Форма справа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Значение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Отклонение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Пояснение</w:t>
            </w:r>
          </w:p>
        </w:tc>
      </w:tr>
      <w:tr w:rsidR="00CE2851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11</w:t>
            </w:r>
          </w:p>
        </w:tc>
      </w:tr>
      <w:tr w:rsidR="00CE2851">
        <w:trPr>
          <w:trHeight w:val="5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CE2851" w:rsidRDefault="00CE2851">
            <w:pPr>
              <w:widowControl w:val="0"/>
              <w:jc w:val="both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p w:rsidR="00CE2851" w:rsidRDefault="00CE2851">
      <w:pPr>
        <w:widowControl w:val="0"/>
        <w:jc w:val="center"/>
        <w:rPr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" w:hAnsi="Times New Roman"/>
          <w:sz w:val="28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" w:hAnsi="Times New Roman"/>
          <w:sz w:val="28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441"/>
        <w:gridCol w:w="4307"/>
      </w:tblGrid>
      <w:tr w:rsidR="00CE2851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072640" cy="54165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541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Фисенко ЮРИЙ ГЕННАДЬЕВИЧ</w:t>
            </w:r>
          </w:p>
        </w:tc>
      </w:tr>
      <w:tr w:rsidR="00CE2851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  <w:tr w:rsidR="00CE2851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851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планово-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72640" cy="54165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541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Фисенко ЮРИЙ ГЕННАДЬЕВИЧ</w:t>
            </w:r>
          </w:p>
        </w:tc>
      </w:tr>
      <w:tr w:rsidR="00CE2851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экономической 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  <w:tr w:rsidR="00CE2851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851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072640" cy="54165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541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Дмитриева Алиса Олеговна</w:t>
            </w:r>
          </w:p>
        </w:tc>
      </w:tr>
      <w:tr w:rsidR="00CE2851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851" w:rsidRDefault="00E766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CE2851" w:rsidRDefault="00CE2851">
      <w:pPr>
        <w:widowControl w:val="0"/>
      </w:pPr>
      <w:bookmarkStart w:id="1" w:name="_dx_frag_EndFragment"/>
      <w:bookmarkEnd w:id="1"/>
    </w:p>
    <w:p w:rsidR="00CE2851" w:rsidRDefault="00CE2851">
      <w:pPr>
        <w:widowControl w:val="0"/>
        <w:jc w:val="both"/>
        <w:rPr>
          <w:rFonts w:ascii="Times New Roman CYR" w:hAnsi="Times New Roman CYR"/>
          <w:color w:val="004DBB"/>
          <w:lang w:val="en-US" w:eastAsia="en-US"/>
        </w:rPr>
      </w:pPr>
      <w:bookmarkStart w:id="2" w:name="_dx_frag_StartFragment"/>
      <w:bookmarkEnd w:id="2"/>
    </w:p>
    <w:p w:rsidR="00CE2851" w:rsidRDefault="00CE2851">
      <w:pPr>
        <w:widowControl w:val="0"/>
        <w:jc w:val="both"/>
        <w:rPr>
          <w:rFonts w:ascii="Times New Roman" w:hAnsi="Times New Roman"/>
          <w:sz w:val="28"/>
          <w:lang w:val="en-US" w:eastAsia="en-US"/>
        </w:rPr>
      </w:pPr>
    </w:p>
    <w:sectPr w:rsidR="00CE2851">
      <w:pgSz w:w="15840" w:h="12240" w:orient="landscape"/>
      <w:pgMar w:top="1134" w:right="819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51"/>
    <w:rsid w:val="00CE2851"/>
    <w:rsid w:val="00E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DDC91-4C0D-4565-A13D-0DBB69AA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customStyle="1" w:styleId="style461">
    <w:name w:val="style461"/>
    <w:basedOn w:val="a0"/>
    <w:rPr>
      <w:sz w:val="15"/>
    </w:rPr>
  </w:style>
  <w:style w:type="table" w:styleId="1">
    <w:name w:val="Table Simple 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Петр Александрович</dc:creator>
  <cp:lastModifiedBy>DELL10</cp:lastModifiedBy>
  <cp:revision>2</cp:revision>
  <dcterms:created xsi:type="dcterms:W3CDTF">2022-05-04T08:48:00Z</dcterms:created>
  <dcterms:modified xsi:type="dcterms:W3CDTF">2022-05-04T08:48:00Z</dcterms:modified>
</cp:coreProperties>
</file>